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490B" w14:textId="77777777" w:rsidR="00CA1B48" w:rsidRPr="00CA1B48" w:rsidRDefault="00CA1B48" w:rsidP="00CA1B4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A1B48">
        <w:rPr>
          <w:rFonts w:ascii="Times New Roman" w:hAnsi="Times New Roman" w:cs="Times New Roman"/>
          <w:sz w:val="28"/>
          <w:szCs w:val="28"/>
        </w:rPr>
        <w:br/>
        <w:t>Адрес: ул. Тихонравова, д. 10, г. Курган, 640000</w:t>
      </w:r>
    </w:p>
    <w:p w14:paraId="41C0DE9F" w14:textId="35E962BC" w:rsidR="00CA1B48" w:rsidRPr="00CA1B48" w:rsidRDefault="00CA1B48" w:rsidP="00CA1B4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Ответчик:</w:t>
      </w:r>
      <w:r w:rsidRPr="00CA1B48">
        <w:rPr>
          <w:rFonts w:ascii="Times New Roman" w:hAnsi="Times New Roman" w:cs="Times New Roman"/>
          <w:sz w:val="28"/>
          <w:szCs w:val="28"/>
        </w:rPr>
        <w:br/>
        <w:t>Территориальный орган Фонда пенсионного и социального страхования Российской Федерации по г. Кургану</w:t>
      </w:r>
      <w:r w:rsidRPr="00CA1B48">
        <w:rPr>
          <w:rFonts w:ascii="Times New Roman" w:hAnsi="Times New Roman" w:cs="Times New Roman"/>
          <w:sz w:val="28"/>
          <w:szCs w:val="28"/>
        </w:rPr>
        <w:br/>
        <w:t xml:space="preserve">Адрес: ул. </w:t>
      </w:r>
      <w:proofErr w:type="spellStart"/>
      <w:r w:rsidRPr="00CA1B48">
        <w:rPr>
          <w:rFonts w:ascii="Times New Roman" w:hAnsi="Times New Roman" w:cs="Times New Roman"/>
          <w:sz w:val="28"/>
          <w:szCs w:val="28"/>
        </w:rPr>
        <w:t>Багряничная</w:t>
      </w:r>
      <w:proofErr w:type="spellEnd"/>
      <w:r w:rsidRPr="00CA1B48">
        <w:rPr>
          <w:rFonts w:ascii="Times New Roman" w:hAnsi="Times New Roman" w:cs="Times New Roman"/>
          <w:sz w:val="28"/>
          <w:szCs w:val="28"/>
        </w:rPr>
        <w:t>, д. 1, г. Курган, 640000</w:t>
      </w:r>
      <w:r w:rsidRPr="00CA1B48">
        <w:rPr>
          <w:rFonts w:ascii="Times New Roman" w:hAnsi="Times New Roman" w:cs="Times New Roman"/>
          <w:sz w:val="28"/>
          <w:szCs w:val="28"/>
        </w:rPr>
        <w:br/>
        <w:t>Тел.: 8 (000) 000-00-00</w:t>
      </w:r>
    </w:p>
    <w:p w14:paraId="1F29595F" w14:textId="77777777" w:rsidR="00CA1B48" w:rsidRPr="00CA1B48" w:rsidRDefault="00CA1B48" w:rsidP="00CA1B4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Истец:</w:t>
      </w:r>
      <w:r w:rsidRPr="00CA1B48">
        <w:rPr>
          <w:rFonts w:ascii="Times New Roman" w:hAnsi="Times New Roman" w:cs="Times New Roman"/>
          <w:sz w:val="28"/>
          <w:szCs w:val="28"/>
        </w:rPr>
        <w:br/>
        <w:t>Орлова Виринея Михайловна</w:t>
      </w:r>
      <w:r w:rsidRPr="00CA1B48">
        <w:rPr>
          <w:rFonts w:ascii="Times New Roman" w:hAnsi="Times New Roman" w:cs="Times New Roman"/>
          <w:sz w:val="28"/>
          <w:szCs w:val="28"/>
        </w:rPr>
        <w:br/>
        <w:t>Адрес: ул. Лесосечная, д. 10, кв. 1, г. Курган, 640000</w:t>
      </w:r>
      <w:r w:rsidRPr="00CA1B48">
        <w:rPr>
          <w:rFonts w:ascii="Times New Roman" w:hAnsi="Times New Roman" w:cs="Times New Roman"/>
          <w:sz w:val="28"/>
          <w:szCs w:val="28"/>
        </w:rPr>
        <w:br/>
        <w:t>Тел.: 8 (000) 000-00-01</w:t>
      </w:r>
    </w:p>
    <w:p w14:paraId="105662AA" w14:textId="77777777" w:rsidR="00CA1B48" w:rsidRPr="00CA1B48" w:rsidRDefault="00CA1B48" w:rsidP="00CA1B4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Дело № 0-000/2025</w:t>
      </w:r>
    </w:p>
    <w:p w14:paraId="5D13BC5E" w14:textId="77777777" w:rsidR="00CA1B48" w:rsidRPr="00CA1B48" w:rsidRDefault="00CA1B48" w:rsidP="00CA1B4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B48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592E4D38" w14:textId="77777777" w:rsidR="00CA1B48" w:rsidRPr="00CA1B48" w:rsidRDefault="00CA1B48" w:rsidP="00CA1B4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на исковое заявление о признании незаконным отказа в перерасчёте страховой пенсии по старости</w:t>
      </w:r>
    </w:p>
    <w:p w14:paraId="60554CD6" w14:textId="77777777" w:rsidR="00CA1B48" w:rsidRPr="00CA1B48" w:rsidRDefault="00CA1B48" w:rsidP="00CA1B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Орловой Виринеи Михайловны к территориальному органу Фонда пенсионного и социального страхования Российской Федерации по г. Кургану о признании незаконным отказа в перерасчёте страховой пенсии по старости.</w:t>
      </w:r>
    </w:p>
    <w:p w14:paraId="4371925F" w14:textId="77777777" w:rsidR="00CA1B48" w:rsidRPr="00CA1B48" w:rsidRDefault="00CA1B48" w:rsidP="00CA1B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Истцом оспаривается отказ в включении в страховой стаж периода её трудовой деятельности с 10 января 1995 года по 20 октября 1998 года в должности продавца в ООО «Меридиан», мотивированный тем, что приложенная трудовая книжка содержит разночтения в персональных данных — в частности, в графе «Фамилия» указано «Орлова В.М.», тогда как в иных документах истца значится отчество «Марковна». Документов, подтверждающих идентичность лица, в том числе судебного акта об установлении юридического факта, в материалы обращения представлено не было.</w:t>
      </w:r>
    </w:p>
    <w:p w14:paraId="77091E2D" w14:textId="77777777" w:rsidR="00CA1B48" w:rsidRPr="00CA1B48" w:rsidRDefault="00CA1B48" w:rsidP="00CA1B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Отказ органа основан на положениях ч. 1 ст. 11 Федерального закона от 28.12.2013 № 400-ФЗ, согласно которым периоды работы включаются в страховой стаж лишь при наличии достоверных доказательств. Указанный отказ был вынесен по результатам рассмотрения повторного обращения истца, при этом все ранее представленные документы были исследованы </w:t>
      </w:r>
      <w:proofErr w:type="spellStart"/>
      <w:r w:rsidRPr="00CA1B48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CA1B48">
        <w:rPr>
          <w:rFonts w:ascii="Times New Roman" w:hAnsi="Times New Roman" w:cs="Times New Roman"/>
          <w:sz w:val="28"/>
          <w:szCs w:val="28"/>
        </w:rPr>
        <w:t>.</w:t>
      </w:r>
    </w:p>
    <w:p w14:paraId="33D7921E" w14:textId="77777777" w:rsidR="00CA1B48" w:rsidRPr="00CA1B48" w:rsidRDefault="00CA1B48" w:rsidP="00CA1B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Позиция органа основывается также на п. 11 постановления Правительства РФ от 02.10.2014 № 1015, где указано, что трудовая книжка </w:t>
      </w:r>
      <w:r w:rsidRPr="00CA1B48">
        <w:rPr>
          <w:rFonts w:ascii="Times New Roman" w:hAnsi="Times New Roman" w:cs="Times New Roman"/>
          <w:sz w:val="28"/>
          <w:szCs w:val="28"/>
        </w:rPr>
        <w:lastRenderedPageBreak/>
        <w:t>является подтверждающим документом только при условии отсутствия в ней сомнений относительно личности работника. На момент принятия оспариваемого решения у ответчика не имелось юридических оснований признавать спорный период подтверждённым. Позднее решение суда об установлении факта принадлежности трудовой книжки в адрес ответчика не направлялось.</w:t>
      </w:r>
    </w:p>
    <w:p w14:paraId="700D66C8" w14:textId="77777777" w:rsidR="00CA1B48" w:rsidRPr="00CA1B48" w:rsidRDefault="00CA1B48" w:rsidP="00CA1B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На основании изложенного полагаем, что правовые основания для удовлетворения иска отсутствуют. Действия ответчика были правомерны, соответствовали действующему законодательству, принимались в рамках предоставленных полномочий и в пределах процессуального срока.</w:t>
      </w:r>
    </w:p>
    <w:p w14:paraId="5119F25D" w14:textId="30D9A744" w:rsidR="00CA1B48" w:rsidRPr="00CA1B48" w:rsidRDefault="00CA1B48" w:rsidP="00CA1B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Просим суд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1B48">
        <w:rPr>
          <w:rFonts w:ascii="Times New Roman" w:hAnsi="Times New Roman" w:cs="Times New Roman"/>
          <w:sz w:val="28"/>
          <w:szCs w:val="28"/>
        </w:rPr>
        <w:t>тказать Орловой В.М. в удовлетворении искового заявления о признании незаконным отказа в перерасчете страховой пенсии по старости.</w:t>
      </w:r>
    </w:p>
    <w:p w14:paraId="6B73BC3D" w14:textId="77777777" w:rsidR="00CA1B48" w:rsidRPr="00CA1B48" w:rsidRDefault="00CA1B48" w:rsidP="00CA1B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CA1B48">
        <w:rPr>
          <w:rFonts w:ascii="Times New Roman" w:hAnsi="Times New Roman" w:cs="Times New Roman"/>
          <w:sz w:val="28"/>
          <w:szCs w:val="28"/>
        </w:rPr>
        <w:t>:</w:t>
      </w:r>
    </w:p>
    <w:p w14:paraId="520963EC" w14:textId="77777777" w:rsidR="00CA1B48" w:rsidRPr="00CA1B48" w:rsidRDefault="00CA1B48" w:rsidP="00CA1B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4D4B4700" w14:textId="77777777" w:rsidR="00CA1B48" w:rsidRPr="00CA1B48" w:rsidRDefault="00CA1B48" w:rsidP="00CA1B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Копии документов, подтверждающих изложенные доводы.</w:t>
      </w:r>
    </w:p>
    <w:p w14:paraId="13967DA7" w14:textId="77777777" w:rsidR="00CA1B48" w:rsidRPr="00CA1B48" w:rsidRDefault="00CA1B48" w:rsidP="00CA1B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0F5F1E94" w14:textId="24F2AA4E" w:rsidR="00CA1B48" w:rsidRPr="00CA1B48" w:rsidRDefault="00CA1B48" w:rsidP="00CA1B48">
      <w:pPr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Дата: 07.07.2025</w:t>
      </w:r>
      <w:r w:rsidRPr="00CA1B48">
        <w:rPr>
          <w:rFonts w:ascii="Times New Roman" w:hAnsi="Times New Roman" w:cs="Times New Roman"/>
          <w:sz w:val="28"/>
          <w:szCs w:val="28"/>
        </w:rPr>
        <w:br/>
        <w:t>Подпись: Селиванов Л.Н.</w:t>
      </w:r>
      <w:r w:rsidRPr="00CA1B48">
        <w:rPr>
          <w:rFonts w:ascii="Times New Roman" w:hAnsi="Times New Roman" w:cs="Times New Roman"/>
          <w:sz w:val="28"/>
          <w:szCs w:val="28"/>
        </w:rPr>
        <w:br/>
        <w:t>по доверенности № 01/25-01 от 10.01.2025</w:t>
      </w:r>
    </w:p>
    <w:p w14:paraId="030D3D04" w14:textId="77777777" w:rsidR="00CA1B48" w:rsidRPr="009136F2" w:rsidRDefault="00CA1B48" w:rsidP="00CA1B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182EC3"/>
    <w:multiLevelType w:val="multilevel"/>
    <w:tmpl w:val="4550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2"/>
  </w:num>
  <w:num w:numId="2" w16cid:durableId="1035274421">
    <w:abstractNumId w:val="33"/>
  </w:num>
  <w:num w:numId="3" w16cid:durableId="887842894">
    <w:abstractNumId w:val="3"/>
  </w:num>
  <w:num w:numId="4" w16cid:durableId="860435904">
    <w:abstractNumId w:val="32"/>
  </w:num>
  <w:num w:numId="5" w16cid:durableId="1365517735">
    <w:abstractNumId w:val="18"/>
  </w:num>
  <w:num w:numId="6" w16cid:durableId="280233304">
    <w:abstractNumId w:val="28"/>
  </w:num>
  <w:num w:numId="7" w16cid:durableId="16011819">
    <w:abstractNumId w:val="24"/>
  </w:num>
  <w:num w:numId="8" w16cid:durableId="1538810764">
    <w:abstractNumId w:val="11"/>
  </w:num>
  <w:num w:numId="9" w16cid:durableId="824054754">
    <w:abstractNumId w:val="8"/>
  </w:num>
  <w:num w:numId="10" w16cid:durableId="838615547">
    <w:abstractNumId w:val="17"/>
  </w:num>
  <w:num w:numId="11" w16cid:durableId="1788816503">
    <w:abstractNumId w:val="35"/>
  </w:num>
  <w:num w:numId="12" w16cid:durableId="1435707560">
    <w:abstractNumId w:val="2"/>
  </w:num>
  <w:num w:numId="13" w16cid:durableId="1128208361">
    <w:abstractNumId w:val="7"/>
  </w:num>
  <w:num w:numId="14" w16cid:durableId="939797935">
    <w:abstractNumId w:val="21"/>
  </w:num>
  <w:num w:numId="15" w16cid:durableId="1084837884">
    <w:abstractNumId w:val="25"/>
  </w:num>
  <w:num w:numId="16" w16cid:durableId="1157041497">
    <w:abstractNumId w:val="23"/>
  </w:num>
  <w:num w:numId="17" w16cid:durableId="1763145741">
    <w:abstractNumId w:val="29"/>
  </w:num>
  <w:num w:numId="18" w16cid:durableId="1055860192">
    <w:abstractNumId w:val="27"/>
  </w:num>
  <w:num w:numId="19" w16cid:durableId="565994813">
    <w:abstractNumId w:val="14"/>
  </w:num>
  <w:num w:numId="20" w16cid:durableId="1355574095">
    <w:abstractNumId w:val="16"/>
  </w:num>
  <w:num w:numId="21" w16cid:durableId="1638140905">
    <w:abstractNumId w:val="15"/>
  </w:num>
  <w:num w:numId="22" w16cid:durableId="982927492">
    <w:abstractNumId w:val="5"/>
  </w:num>
  <w:num w:numId="23" w16cid:durableId="438765150">
    <w:abstractNumId w:val="1"/>
  </w:num>
  <w:num w:numId="24" w16cid:durableId="1455171065">
    <w:abstractNumId w:val="34"/>
  </w:num>
  <w:num w:numId="25" w16cid:durableId="1664041244">
    <w:abstractNumId w:val="19"/>
  </w:num>
  <w:num w:numId="26" w16cid:durableId="1211385315">
    <w:abstractNumId w:val="0"/>
  </w:num>
  <w:num w:numId="27" w16cid:durableId="1002051439">
    <w:abstractNumId w:val="13"/>
  </w:num>
  <w:num w:numId="28" w16cid:durableId="119417329">
    <w:abstractNumId w:val="12"/>
  </w:num>
  <w:num w:numId="29" w16cid:durableId="1060977985">
    <w:abstractNumId w:val="31"/>
  </w:num>
  <w:num w:numId="30" w16cid:durableId="332147671">
    <w:abstractNumId w:val="10"/>
  </w:num>
  <w:num w:numId="31" w16cid:durableId="1150752733">
    <w:abstractNumId w:val="6"/>
  </w:num>
  <w:num w:numId="32" w16cid:durableId="1971011131">
    <w:abstractNumId w:val="26"/>
  </w:num>
  <w:num w:numId="33" w16cid:durableId="2142841764">
    <w:abstractNumId w:val="30"/>
  </w:num>
  <w:num w:numId="34" w16cid:durableId="1690137225">
    <w:abstractNumId w:val="9"/>
  </w:num>
  <w:num w:numId="35" w16cid:durableId="1045105535">
    <w:abstractNumId w:val="20"/>
  </w:num>
  <w:num w:numId="36" w16cid:durableId="528032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493895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1B48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на получение выкупной суммы на пенсионном счете умершего вкладчика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незаконным отказа в перерасчете страховой пенсии по старости</dc:title>
  <dc:subject/>
  <dc:creator>Assistentus.ru</dc:creator>
  <cp:keywords/>
  <dc:description/>
  <cp:lastModifiedBy>den</cp:lastModifiedBy>
  <cp:revision>44</cp:revision>
  <dcterms:created xsi:type="dcterms:W3CDTF">2024-10-02T16:50:00Z</dcterms:created>
  <dcterms:modified xsi:type="dcterms:W3CDTF">2025-07-07T13:07:00Z</dcterms:modified>
</cp:coreProperties>
</file>